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508DF0D6" w:rsidR="00E509AB" w:rsidRPr="00342095" w:rsidRDefault="00E509AB" w:rsidP="00E509AB">
      <w:pPr>
        <w:tabs>
          <w:tab w:val="left" w:pos="1701"/>
          <w:tab w:val="right" w:pos="9639"/>
        </w:tabs>
        <w:spacing w:after="60" w:line="254" w:lineRule="auto"/>
        <w:jc w:val="both"/>
        <w:rPr>
          <w:rFonts w:ascii="Arial" w:eastAsia="Yu Mincho" w:hAnsi="Arial" w:cs="Arial"/>
          <w:b/>
          <w:sz w:val="32"/>
          <w:szCs w:val="32"/>
          <w:lang w:val="sv-SE" w:eastAsia="zh-CN"/>
        </w:rPr>
      </w:pPr>
      <w:bookmarkStart w:id="0" w:name="_Hlk534990442"/>
      <w:bookmarkEnd w:id="0"/>
      <w:r w:rsidRPr="00342095">
        <w:rPr>
          <w:rFonts w:ascii="Arial" w:eastAsia="Yu Mincho" w:hAnsi="Arial" w:cs="Arial"/>
          <w:b/>
          <w:lang w:val="sv-SE" w:eastAsia="zh-CN"/>
        </w:rPr>
        <w:t>3GPP TSG RAN WG1 96</w:t>
      </w:r>
      <w:r w:rsidRPr="00342095">
        <w:rPr>
          <w:rFonts w:ascii="Arial" w:eastAsia="Yu Mincho" w:hAnsi="Arial" w:cs="Arial"/>
          <w:b/>
          <w:lang w:val="sv-SE" w:eastAsia="zh-CN"/>
        </w:rPr>
        <w:tab/>
        <w:t>R1-</w:t>
      </w:r>
      <w:bookmarkStart w:id="1" w:name="_GoBack"/>
      <w:r w:rsidR="00200C46" w:rsidRPr="00342095">
        <w:rPr>
          <w:rFonts w:ascii="Arial" w:eastAsia="Yu Mincho" w:hAnsi="Arial" w:cs="Arial"/>
          <w:b/>
          <w:lang w:val="sv-SE" w:eastAsia="zh-CN"/>
        </w:rPr>
        <w:t>19</w:t>
      </w:r>
      <w:r w:rsidR="00971C21">
        <w:rPr>
          <w:rFonts w:ascii="Arial" w:eastAsia="Yu Mincho" w:hAnsi="Arial" w:cs="Arial"/>
          <w:b/>
          <w:lang w:val="sv-SE" w:eastAsia="zh-CN"/>
        </w:rPr>
        <w:t>0</w:t>
      </w:r>
      <w:r w:rsidR="001B0EC0">
        <w:rPr>
          <w:rFonts w:ascii="Arial" w:eastAsia="Yu Mincho" w:hAnsi="Arial" w:cs="Arial"/>
          <w:b/>
          <w:lang w:val="sv-SE" w:eastAsia="zh-CN"/>
        </w:rPr>
        <w:t>5465</w:t>
      </w:r>
      <w:bookmarkEnd w:id="1"/>
    </w:p>
    <w:p w14:paraId="5BFBFCF8" w14:textId="6E48DEB8" w:rsidR="00E509AB" w:rsidRPr="00097874" w:rsidRDefault="004050BC" w:rsidP="00E509AB">
      <w:pPr>
        <w:tabs>
          <w:tab w:val="left" w:pos="1701"/>
          <w:tab w:val="right" w:pos="9639"/>
        </w:tabs>
        <w:spacing w:after="240" w:line="254" w:lineRule="auto"/>
        <w:jc w:val="both"/>
        <w:rPr>
          <w:rFonts w:ascii="Arial" w:eastAsia="Yu Mincho" w:hAnsi="Arial" w:cs="Arial"/>
          <w:b/>
          <w:lang w:eastAsia="zh-CN"/>
        </w:rPr>
      </w:pPr>
      <w:r>
        <w:rPr>
          <w:rFonts w:ascii="Arial" w:eastAsia="Yu Mincho" w:hAnsi="Arial" w:cs="Arial"/>
          <w:b/>
          <w:lang w:eastAsia="zh-CN"/>
        </w:rPr>
        <w:t>Xi’an</w:t>
      </w:r>
      <w:r w:rsidR="00E509AB" w:rsidRPr="00097874">
        <w:rPr>
          <w:rFonts w:ascii="Arial" w:eastAsia="Yu Mincho" w:hAnsi="Arial" w:cs="Arial"/>
          <w:b/>
          <w:lang w:eastAsia="zh-CN"/>
        </w:rPr>
        <w:t xml:space="preserve">, </w:t>
      </w:r>
      <w:r>
        <w:rPr>
          <w:rFonts w:ascii="Arial" w:eastAsia="Yu Mincho" w:hAnsi="Arial" w:cs="Arial"/>
          <w:b/>
          <w:lang w:eastAsia="zh-CN"/>
        </w:rPr>
        <w:t>P.R. China</w:t>
      </w:r>
      <w:r w:rsidR="00E509AB" w:rsidRPr="00097874">
        <w:rPr>
          <w:rFonts w:ascii="Arial" w:eastAsia="Yu Mincho" w:hAnsi="Arial" w:cs="Arial"/>
          <w:b/>
          <w:lang w:eastAsia="zh-CN"/>
        </w:rPr>
        <w:t xml:space="preserve">, </w:t>
      </w:r>
      <w:r>
        <w:rPr>
          <w:rFonts w:ascii="Arial" w:eastAsia="Yu Mincho" w:hAnsi="Arial" w:cs="Arial"/>
          <w:b/>
          <w:lang w:eastAsia="zh-CN"/>
        </w:rPr>
        <w:t>April 8</w:t>
      </w:r>
      <w:r w:rsidR="00E509AB" w:rsidRPr="00097874">
        <w:rPr>
          <w:rFonts w:ascii="Arial" w:eastAsia="Yu Mincho" w:hAnsi="Arial" w:cs="Arial"/>
          <w:b/>
          <w:vertAlign w:val="superscript"/>
          <w:lang w:eastAsia="zh-CN"/>
        </w:rPr>
        <w:t>th</w:t>
      </w:r>
      <w:r w:rsidR="00E509AB" w:rsidRPr="00097874">
        <w:rPr>
          <w:rFonts w:ascii="Arial" w:eastAsia="Yu Mincho" w:hAnsi="Arial" w:cs="Arial"/>
          <w:b/>
          <w:lang w:eastAsia="zh-CN"/>
        </w:rPr>
        <w:t xml:space="preserve"> – 1</w:t>
      </w:r>
      <w:r>
        <w:rPr>
          <w:rFonts w:ascii="Arial" w:eastAsia="Yu Mincho" w:hAnsi="Arial" w:cs="Arial"/>
          <w:b/>
          <w:lang w:eastAsia="zh-CN"/>
        </w:rPr>
        <w:t>2th</w:t>
      </w:r>
      <w:r w:rsidR="00E509AB" w:rsidRPr="00097874">
        <w:rPr>
          <w:rFonts w:ascii="Arial" w:eastAsia="Yu Mincho" w:hAnsi="Arial" w:cs="Arial"/>
          <w:b/>
          <w:lang w:eastAsia="zh-CN"/>
        </w:rPr>
        <w:t xml:space="preserve"> 2019</w:t>
      </w:r>
    </w:p>
    <w:p w14:paraId="01A9D079" w14:textId="1A175BC0" w:rsidR="0056538C" w:rsidRPr="00097874" w:rsidRDefault="0056538C" w:rsidP="0056538C">
      <w:pPr>
        <w:tabs>
          <w:tab w:val="left" w:pos="1701"/>
          <w:tab w:val="right" w:pos="9639"/>
        </w:tabs>
        <w:spacing w:after="240" w:line="256" w:lineRule="auto"/>
        <w:jc w:val="both"/>
        <w:rPr>
          <w:rFonts w:ascii="Arial" w:eastAsia="Yu Mincho" w:hAnsi="Arial" w:cs="Arial"/>
          <w:b/>
          <w:lang w:eastAsia="zh-CN"/>
        </w:rPr>
      </w:pPr>
      <w:bookmarkStart w:id="2" w:name="_Hlk534987473"/>
      <w:r w:rsidRPr="00097874">
        <w:rPr>
          <w:rFonts w:ascii="Arial" w:eastAsia="Yu Mincho" w:hAnsi="Arial" w:cs="Arial"/>
          <w:b/>
          <w:lang w:eastAsia="zh-CN"/>
        </w:rPr>
        <w:t>Agenda Item:</w:t>
      </w:r>
      <w:r w:rsidRPr="00097874">
        <w:rPr>
          <w:rFonts w:ascii="Arial" w:eastAsia="Yu Mincho" w:hAnsi="Arial" w:cs="Arial"/>
          <w:b/>
          <w:lang w:eastAsia="zh-CN"/>
        </w:rPr>
        <w:tab/>
        <w:t>7.2.10.</w:t>
      </w:r>
      <w:r w:rsidR="004050BC" w:rsidRPr="003142CB">
        <w:rPr>
          <w:rFonts w:ascii="Arial" w:eastAsia="Yu Mincho" w:hAnsi="Arial" w:cs="Arial"/>
          <w:b/>
          <w:lang w:eastAsia="zh-CN"/>
        </w:rPr>
        <w:t>4</w:t>
      </w:r>
    </w:p>
    <w:p w14:paraId="6AAF5B77" w14:textId="77777777" w:rsidR="0056538C" w:rsidRPr="00097874" w:rsidRDefault="0056538C" w:rsidP="0056538C">
      <w:pPr>
        <w:tabs>
          <w:tab w:val="left" w:pos="1701"/>
          <w:tab w:val="right" w:pos="9639"/>
        </w:tabs>
        <w:spacing w:after="240" w:line="256" w:lineRule="auto"/>
        <w:jc w:val="both"/>
        <w:rPr>
          <w:rFonts w:ascii="Arial" w:eastAsia="Yu Mincho" w:hAnsi="Arial" w:cs="Arial"/>
          <w:b/>
          <w:lang w:eastAsia="zh-CN"/>
        </w:rPr>
      </w:pPr>
      <w:r w:rsidRPr="00097874">
        <w:rPr>
          <w:rFonts w:ascii="Arial" w:eastAsia="Yu Mincho" w:hAnsi="Arial" w:cs="Arial"/>
          <w:b/>
          <w:lang w:eastAsia="zh-CN"/>
        </w:rPr>
        <w:t>Source:</w:t>
      </w:r>
      <w:r w:rsidRPr="00097874">
        <w:rPr>
          <w:rFonts w:ascii="Arial" w:eastAsia="Yu Mincho" w:hAnsi="Arial" w:cs="Arial"/>
          <w:b/>
          <w:lang w:eastAsia="zh-CN"/>
        </w:rPr>
        <w:tab/>
        <w:t>Ericsson</w:t>
      </w:r>
    </w:p>
    <w:p w14:paraId="519A7C71" w14:textId="2E6489CB" w:rsidR="0056538C" w:rsidRPr="00817275" w:rsidRDefault="0056538C" w:rsidP="00817275">
      <w:pPr>
        <w:tabs>
          <w:tab w:val="left" w:pos="1701"/>
          <w:tab w:val="right" w:pos="9639"/>
        </w:tabs>
        <w:spacing w:after="240" w:line="256" w:lineRule="auto"/>
        <w:jc w:val="both"/>
        <w:rPr>
          <w:rFonts w:ascii="Arial" w:eastAsia="Yu Mincho" w:hAnsi="Arial" w:cs="Arial"/>
          <w:b/>
          <w:lang w:eastAsia="zh-CN"/>
        </w:rPr>
      </w:pPr>
      <w:r w:rsidRPr="00817275">
        <w:rPr>
          <w:rFonts w:ascii="Arial" w:eastAsia="Yu Mincho" w:hAnsi="Arial" w:cs="Arial"/>
          <w:b/>
          <w:lang w:eastAsia="zh-CN"/>
        </w:rPr>
        <w:t>Title:</w:t>
      </w:r>
      <w:r w:rsidRPr="00817275">
        <w:rPr>
          <w:rFonts w:ascii="Arial" w:eastAsia="Yu Mincho" w:hAnsi="Arial" w:cs="Arial"/>
          <w:b/>
          <w:lang w:eastAsia="zh-CN"/>
        </w:rPr>
        <w:tab/>
      </w:r>
      <w:r w:rsidR="003142CB" w:rsidRPr="003142CB">
        <w:rPr>
          <w:rFonts w:ascii="Arial" w:eastAsia="Yu Mincho" w:hAnsi="Arial" w:cs="Arial"/>
          <w:b/>
          <w:lang w:eastAsia="zh-CN"/>
        </w:rPr>
        <w:t>Design parameters for downlink positioning reference signals</w:t>
      </w:r>
    </w:p>
    <w:p w14:paraId="1B5BA3FE" w14:textId="2C0DC002" w:rsidR="008A70A5" w:rsidRPr="00097874" w:rsidRDefault="0056538C" w:rsidP="0056538C">
      <w:pPr>
        <w:tabs>
          <w:tab w:val="left" w:pos="1701"/>
          <w:tab w:val="right" w:pos="9639"/>
        </w:tabs>
        <w:spacing w:after="240" w:line="256" w:lineRule="auto"/>
        <w:jc w:val="both"/>
        <w:rPr>
          <w:rFonts w:ascii="Arial" w:eastAsia="Yu Mincho" w:hAnsi="Arial" w:cs="Arial"/>
          <w:b/>
          <w:lang w:eastAsia="zh-CN"/>
        </w:rPr>
      </w:pPr>
      <w:r w:rsidRPr="00097874">
        <w:rPr>
          <w:rFonts w:ascii="Arial" w:eastAsia="Yu Mincho" w:hAnsi="Arial" w:cs="Arial"/>
          <w:b/>
          <w:lang w:eastAsia="zh-CN"/>
        </w:rPr>
        <w:t>Document for:</w:t>
      </w:r>
      <w:r w:rsidRPr="00097874">
        <w:rPr>
          <w:rFonts w:ascii="Arial" w:eastAsia="Yu Mincho" w:hAnsi="Arial" w:cs="Arial"/>
          <w:b/>
          <w:lang w:eastAsia="zh-CN"/>
        </w:rPr>
        <w:tab/>
        <w:t>Discussion</w:t>
      </w:r>
      <w:bookmarkEnd w:id="2"/>
    </w:p>
    <w:p w14:paraId="203458E0" w14:textId="77777777" w:rsidR="00E90E49" w:rsidRPr="00CE0424" w:rsidRDefault="00230D18" w:rsidP="00CE0424">
      <w:pPr>
        <w:pStyle w:val="Heading1"/>
      </w:pPr>
      <w:r>
        <w:t>1</w:t>
      </w:r>
      <w:r>
        <w:tab/>
      </w:r>
      <w:r w:rsidR="00E90E49" w:rsidRPr="00CE0424">
        <w:t>Introduction</w:t>
      </w:r>
    </w:p>
    <w:p w14:paraId="07CC47AF" w14:textId="77777777" w:rsidR="003142CB" w:rsidRPr="00736498" w:rsidRDefault="003142CB" w:rsidP="003142CB">
      <w:bookmarkStart w:id="3" w:name="_Ref178064866"/>
      <w:r w:rsidRPr="00736498">
        <w:t>For TOA estimation, the quality of the estimate depends strongly on the following parameters:</w:t>
      </w:r>
    </w:p>
    <w:p w14:paraId="42E6CC22" w14:textId="77777777" w:rsidR="003142CB" w:rsidRDefault="003142CB" w:rsidP="003142CB">
      <w:pPr>
        <w:pStyle w:val="ListParagraph"/>
        <w:numPr>
          <w:ilvl w:val="0"/>
          <w:numId w:val="24"/>
        </w:numPr>
      </w:pPr>
      <w:r w:rsidRPr="00097874">
        <w:rPr>
          <w:lang w:val="en-US"/>
        </w:rPr>
        <w:t>Bandwidth of the transmitted P</w:t>
      </w:r>
      <w:r>
        <w:rPr>
          <w:lang w:val="en-US"/>
        </w:rPr>
        <w:t>RS</w:t>
      </w:r>
    </w:p>
    <w:p w14:paraId="2B31F9BD" w14:textId="77777777" w:rsidR="003142CB" w:rsidRDefault="003142CB" w:rsidP="003142CB">
      <w:pPr>
        <w:pStyle w:val="ListParagraph"/>
        <w:numPr>
          <w:ilvl w:val="0"/>
          <w:numId w:val="24"/>
        </w:numPr>
      </w:pPr>
      <w:r>
        <w:t>Sequence correlation properties</w:t>
      </w:r>
    </w:p>
    <w:p w14:paraId="374682C8" w14:textId="77777777" w:rsidR="003142CB" w:rsidRDefault="003142CB" w:rsidP="003142CB">
      <w:pPr>
        <w:pStyle w:val="ListParagraph"/>
        <w:numPr>
          <w:ilvl w:val="0"/>
          <w:numId w:val="24"/>
        </w:numPr>
      </w:pPr>
      <w:r>
        <w:t>Orthogonality between transmitted signals (cells or beams)</w:t>
      </w:r>
    </w:p>
    <w:p w14:paraId="2713F233" w14:textId="77777777" w:rsidR="003142CB" w:rsidRDefault="003142CB" w:rsidP="003142CB">
      <w:pPr>
        <w:pStyle w:val="ListParagraph"/>
        <w:numPr>
          <w:ilvl w:val="0"/>
          <w:numId w:val="24"/>
        </w:numPr>
      </w:pPr>
      <w:r>
        <w:t>Total energy</w:t>
      </w:r>
      <w:r>
        <w:rPr>
          <w:lang w:val="en-US"/>
        </w:rPr>
        <w:t xml:space="preserve"> </w:t>
      </w:r>
      <w:r>
        <w:t>of the transmitted</w:t>
      </w:r>
      <w:r w:rsidRPr="00097874">
        <w:rPr>
          <w:lang w:val="en-US"/>
        </w:rPr>
        <w:t>/</w:t>
      </w:r>
      <w:r>
        <w:rPr>
          <w:lang w:val="en-US"/>
        </w:rPr>
        <w:t>received</w:t>
      </w:r>
      <w:r>
        <w:t xml:space="preserve"> signals used for one position estimation</w:t>
      </w:r>
    </w:p>
    <w:p w14:paraId="433F4334" w14:textId="77777777" w:rsidR="003142CB" w:rsidRDefault="003142CB" w:rsidP="003142CB">
      <w:pPr>
        <w:pStyle w:val="ListParagraph"/>
        <w:numPr>
          <w:ilvl w:val="0"/>
          <w:numId w:val="24"/>
        </w:numPr>
      </w:pPr>
      <w:r>
        <w:t>Total energy</w:t>
      </w:r>
      <w:r>
        <w:rPr>
          <w:lang w:val="en-US"/>
        </w:rPr>
        <w:t xml:space="preserve"> </w:t>
      </w:r>
      <w:r>
        <w:t>of the transmitted</w:t>
      </w:r>
      <w:r w:rsidRPr="00D14DA9">
        <w:rPr>
          <w:lang w:val="en-US"/>
        </w:rPr>
        <w:t>/</w:t>
      </w:r>
      <w:r>
        <w:rPr>
          <w:lang w:val="en-US"/>
        </w:rPr>
        <w:t>received</w:t>
      </w:r>
      <w:r>
        <w:t xml:space="preserve"> signals</w:t>
      </w:r>
      <w:r>
        <w:rPr>
          <w:lang w:val="en-US"/>
        </w:rPr>
        <w:t xml:space="preserve"> </w:t>
      </w:r>
      <w:r w:rsidRPr="00D14DA9">
        <w:rPr>
          <w:lang w:val="en-US"/>
        </w:rPr>
        <w:t>wi</w:t>
      </w:r>
      <w:r>
        <w:rPr>
          <w:lang w:val="en-US"/>
        </w:rPr>
        <w:t>thin the coherence time of the channel</w:t>
      </w:r>
    </w:p>
    <w:p w14:paraId="6D01EFF7" w14:textId="77777777" w:rsidR="003142CB" w:rsidRDefault="003142CB" w:rsidP="003142CB">
      <w:pPr>
        <w:pStyle w:val="ListParagraph"/>
        <w:numPr>
          <w:ilvl w:val="0"/>
          <w:numId w:val="30"/>
        </w:numPr>
      </w:pPr>
      <w:r>
        <w:t>Range properties related to side peaks in the autocorrelation function of the signal</w:t>
      </w:r>
      <w:bookmarkStart w:id="4" w:name="_Hlk534989856"/>
      <w:r w:rsidRPr="0078288F">
        <w:t xml:space="preserve"> </w:t>
      </w:r>
    </w:p>
    <w:p w14:paraId="7E5FBAE8" w14:textId="77777777" w:rsidR="003142CB" w:rsidRDefault="003142CB" w:rsidP="003142CB">
      <w:pPr>
        <w:pStyle w:val="ListParagraph"/>
        <w:numPr>
          <w:ilvl w:val="0"/>
          <w:numId w:val="24"/>
        </w:numPr>
      </w:pPr>
      <w:r>
        <w:t>Positioning overhead</w:t>
      </w:r>
      <w:bookmarkEnd w:id="4"/>
    </w:p>
    <w:p w14:paraId="399250F1" w14:textId="30D7C3F7" w:rsidR="003142CB" w:rsidRPr="00097874" w:rsidRDefault="003142CB" w:rsidP="003142CB">
      <w:r w:rsidRPr="00097874">
        <w:t>The quality of the positioning estimate has to be balanced against the cost to achieve it, primarily in the form of the fraction of the time used for positioning rather than for communication, i.e. the positioning overhead.</w:t>
      </w:r>
      <w:r w:rsidR="00491141">
        <w:t xml:space="preserve"> In the subsections </w:t>
      </w:r>
      <w:r w:rsidR="00531B02">
        <w:t>below,</w:t>
      </w:r>
      <w:r w:rsidR="00491141">
        <w:t xml:space="preserve"> we discuss these criteria in more detail.</w:t>
      </w:r>
    </w:p>
    <w:p w14:paraId="6F368817" w14:textId="4BEACDB4" w:rsidR="004000E8" w:rsidRDefault="00230D18" w:rsidP="00CE0424">
      <w:pPr>
        <w:pStyle w:val="Heading1"/>
      </w:pPr>
      <w:r>
        <w:t>2</w:t>
      </w:r>
      <w:r>
        <w:tab/>
      </w:r>
      <w:bookmarkEnd w:id="3"/>
      <w:r w:rsidR="00BC2482" w:rsidRPr="00BC2482">
        <w:t xml:space="preserve">Design parameters for </w:t>
      </w:r>
      <w:r w:rsidR="007500AD">
        <w:t>DL</w:t>
      </w:r>
      <w:r w:rsidR="00BC2482" w:rsidRPr="00BC2482">
        <w:t xml:space="preserve"> positioning reference signals</w:t>
      </w:r>
    </w:p>
    <w:p w14:paraId="17443FF7" w14:textId="47EAA630" w:rsidR="00342095" w:rsidRDefault="007500AD" w:rsidP="007500AD">
      <w:pPr>
        <w:pStyle w:val="Heading2"/>
        <w:rPr>
          <w:lang w:val="en-US"/>
        </w:rPr>
      </w:pPr>
      <w:r>
        <w:t>2.</w:t>
      </w:r>
      <w:r w:rsidR="00342095">
        <w:t>1</w:t>
      </w:r>
      <w:r w:rsidR="00342095">
        <w:tab/>
        <w:t>Sequence correlation properties</w:t>
      </w:r>
    </w:p>
    <w:p w14:paraId="30569929" w14:textId="77777777" w:rsidR="00342095" w:rsidRPr="00097874" w:rsidRDefault="00342095" w:rsidP="00342095">
      <w:r w:rsidRPr="00097874">
        <w:t>When an interfering signal is of the same order of magnitude (or smaller) as the signal used for the TOA estimation then the processing gain achieved by using different sequences for different signals is typically sufficient and complete orthogonality is not necessary. In order to maximize this type of interference suppression the sequences used should be selected carefully to have the best correlation properties. In some scenarios, e.g. with large numbers of beams there may also be a need for a rather large number of different sequences and a corresponding large number of initialization bits. Clearly, this type of details should be studied and specified in the work item phase.</w:t>
      </w:r>
    </w:p>
    <w:p w14:paraId="053E76BD" w14:textId="77777777" w:rsidR="00342095" w:rsidRPr="00736498" w:rsidRDefault="00342095" w:rsidP="00342095">
      <w:pPr>
        <w:pStyle w:val="Observation"/>
        <w:numPr>
          <w:ilvl w:val="0"/>
          <w:numId w:val="25"/>
        </w:numPr>
        <w:ind w:left="1701" w:hanging="1701"/>
      </w:pPr>
      <w:bookmarkStart w:id="5" w:name="_Toc535002585"/>
      <w:bookmarkStart w:id="6" w:name="_Toc1164781"/>
      <w:bookmarkStart w:id="7" w:name="_Toc5019276"/>
      <w:r w:rsidRPr="00736498">
        <w:t>When dealing with interfering signal of the same order of magnitude as the measured TOA signal, a careful choice of sequences to be used within a position computation operation should minimize the interference between these sequences.</w:t>
      </w:r>
      <w:bookmarkEnd w:id="5"/>
      <w:bookmarkEnd w:id="6"/>
      <w:bookmarkEnd w:id="7"/>
    </w:p>
    <w:p w14:paraId="485DF705" w14:textId="77777777" w:rsidR="00342095" w:rsidRPr="00097874" w:rsidRDefault="00342095" w:rsidP="00342095">
      <w:pPr>
        <w:pStyle w:val="Proposal"/>
      </w:pPr>
      <w:bookmarkStart w:id="8" w:name="_Toc1164902"/>
      <w:r w:rsidRPr="00097874">
        <w:t>The sequence and sequence initialization to utilize for a potential new NR positioning reference signal should be evaluated in terms of correlation properties before being specified.</w:t>
      </w:r>
      <w:bookmarkEnd w:id="8"/>
    </w:p>
    <w:p w14:paraId="57DA43CC" w14:textId="637ADF89" w:rsidR="00342095" w:rsidRPr="007500AD" w:rsidRDefault="007500AD" w:rsidP="007500AD">
      <w:pPr>
        <w:pStyle w:val="Heading2"/>
      </w:pPr>
      <w:r>
        <w:lastRenderedPageBreak/>
        <w:t>2</w:t>
      </w:r>
      <w:r w:rsidR="00342095" w:rsidRPr="007500AD">
        <w:t>.2</w:t>
      </w:r>
      <w:r w:rsidR="00342095" w:rsidRPr="007500AD">
        <w:tab/>
        <w:t>Orthogonality</w:t>
      </w:r>
    </w:p>
    <w:p w14:paraId="6B67BFCD" w14:textId="77777777" w:rsidR="00342095" w:rsidRPr="00736498" w:rsidRDefault="00342095" w:rsidP="00342095">
      <w:r w:rsidRPr="00736498">
        <w:t>When an interfering signal is much stronger than the signal used for the TOA estimation, as is often the case for an interfering signal from the serving cell when measuring the TOA to a site that is far away, then the processing gain achieved by the sequence is not enough and orthogonality is required between the signals to allow accurate TOA estimation.</w:t>
      </w:r>
    </w:p>
    <w:p w14:paraId="0635FB62" w14:textId="77777777" w:rsidR="00342095" w:rsidRPr="00736498" w:rsidRDefault="00342095" w:rsidP="00342095">
      <w:r w:rsidRPr="00736498">
        <w:t>Orthogonality can be achieved e.g. by multiplexing signals in frequency and/or time. A kind of de facto orthogonality between different estimated Channel Impulse Responses (CIRs) can also be achieved by using a Single Frequency Network (SFN) with deliberate delays/cyclic shifts, as is further explained in 3.6.2.</w:t>
      </w:r>
    </w:p>
    <w:p w14:paraId="5FF9A542" w14:textId="77777777" w:rsidR="00342095" w:rsidRPr="00736498" w:rsidRDefault="00342095" w:rsidP="00342095">
      <w:r w:rsidRPr="00736498">
        <w:t>When orthogonality is achieved by time multiplexing M signals transmitted from different transmission points, this means that the number of symbols utilized in each transmission point is M*S where S is the number of symbols utilized for one signal. This is clearly a serious cost in terms of resource utilization.</w:t>
      </w:r>
    </w:p>
    <w:p w14:paraId="0745B9D5" w14:textId="77777777" w:rsidR="00342095" w:rsidRPr="00736498" w:rsidRDefault="00342095" w:rsidP="00342095">
      <w:r w:rsidRPr="00736498">
        <w:t xml:space="preserve">Similarly, when orthogonality is used to frequency multiplex N signals transmitted from different transmission points, this means that the number of subcarriers utilized in each transmission point is N*C where C is the number of subcarriers utilized for one signal. This is not so critical if we can power-boost the signal with a linear factor N to utilize the full output power of the </w:t>
      </w:r>
      <w:proofErr w:type="spellStart"/>
      <w:r w:rsidRPr="00736498">
        <w:t>gNB</w:t>
      </w:r>
      <w:proofErr w:type="spellEnd"/>
      <w:r w:rsidRPr="00736498">
        <w:t xml:space="preserve">. The amount of power boosting possible may, however, be limited by RAN4 aspects like clipping and regulatory requirements. Note also that even for a large N we can still spread the subcarriers over the full bandwidth to get a large bandwidth signal which is beneficial for the TOA estimation. </w:t>
      </w:r>
    </w:p>
    <w:p w14:paraId="18F6E697" w14:textId="77777777" w:rsidR="00342095" w:rsidRPr="00097874" w:rsidRDefault="00342095" w:rsidP="00342095">
      <w:r w:rsidRPr="00097874">
        <w:t xml:space="preserve">Thus, to achieve a certain reuse R=M*N, the choice of M and N needs to be considered carefully. A large M value will come with a very high cost in terms the number of symbols/slots utilized per time unit for positioning. </w:t>
      </w:r>
      <w:proofErr w:type="gramStart"/>
      <w:r w:rsidRPr="00097874">
        <w:t>A very high N value,</w:t>
      </w:r>
      <w:proofErr w:type="gramEnd"/>
      <w:r w:rsidRPr="00097874">
        <w:t xml:space="preserve"> may on the other hand result in that we can’t utilize the full output power of the </w:t>
      </w:r>
      <w:proofErr w:type="spellStart"/>
      <w:r w:rsidRPr="00097874">
        <w:t>gNB</w:t>
      </w:r>
      <w:proofErr w:type="spellEnd"/>
      <w:r w:rsidRPr="00097874">
        <w:t xml:space="preserve"> and thus in reduced coverage for the positioning signal.</w:t>
      </w:r>
    </w:p>
    <w:p w14:paraId="52F8E9E6" w14:textId="77777777" w:rsidR="00342095" w:rsidRDefault="00342095" w:rsidP="00342095">
      <w:pPr>
        <w:jc w:val="center"/>
      </w:pPr>
      <w:r>
        <w:rPr>
          <w:noProof/>
        </w:rPr>
        <w:drawing>
          <wp:inline distT="0" distB="0" distL="0" distR="0" wp14:anchorId="5351A7DB" wp14:editId="7EA15E09">
            <wp:extent cx="4432300" cy="933450"/>
            <wp:effectExtent l="19050" t="19050" r="25400"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300" cy="933450"/>
                    </a:xfrm>
                    <a:prstGeom prst="rect">
                      <a:avLst/>
                    </a:prstGeom>
                    <a:noFill/>
                    <a:ln w="9525" cmpd="sng">
                      <a:solidFill>
                        <a:srgbClr val="000000"/>
                      </a:solidFill>
                      <a:miter lim="800000"/>
                      <a:headEnd/>
                      <a:tailEnd/>
                    </a:ln>
                    <a:effectLst/>
                  </pic:spPr>
                </pic:pic>
              </a:graphicData>
            </a:graphic>
          </wp:inline>
        </w:drawing>
      </w:r>
    </w:p>
    <w:p w14:paraId="3231FB7D" w14:textId="77777777" w:rsidR="00342095" w:rsidRPr="00736498" w:rsidRDefault="00342095" w:rsidP="00342095">
      <w:pPr>
        <w:pStyle w:val="Caption"/>
        <w:jc w:val="center"/>
      </w:pPr>
      <w:r w:rsidRPr="00736498">
        <w:t xml:space="preserve">Figure </w:t>
      </w:r>
      <w:r>
        <w:fldChar w:fldCharType="begin"/>
      </w:r>
      <w:r w:rsidRPr="00736498">
        <w:instrText xml:space="preserve"> SEQ Figure \* ARABIC </w:instrText>
      </w:r>
      <w:r>
        <w:fldChar w:fldCharType="separate"/>
      </w:r>
      <w:r w:rsidRPr="00736498">
        <w:t>1</w:t>
      </w:r>
      <w:r>
        <w:fldChar w:fldCharType="end"/>
      </w:r>
      <w:r w:rsidRPr="00736498">
        <w:t xml:space="preserve"> Power boosting</w:t>
      </w:r>
    </w:p>
    <w:p w14:paraId="4289C992" w14:textId="4257E9B0" w:rsidR="00342095" w:rsidRPr="007500AD" w:rsidRDefault="007500AD" w:rsidP="007500AD">
      <w:pPr>
        <w:pStyle w:val="Heading2"/>
      </w:pPr>
      <w:r>
        <w:t>2</w:t>
      </w:r>
      <w:r w:rsidR="00342095" w:rsidRPr="007500AD">
        <w:t>.3</w:t>
      </w:r>
      <w:r w:rsidR="00342095" w:rsidRPr="007500AD">
        <w:tab/>
        <w:t>Energy</w:t>
      </w:r>
    </w:p>
    <w:p w14:paraId="3B06B3BE" w14:textId="77777777" w:rsidR="00342095" w:rsidRPr="00097874" w:rsidRDefault="00342095" w:rsidP="00342095">
      <w:r w:rsidRPr="00097874">
        <w:t xml:space="preserve">Increasing the bandwidth of the transmitted signal increases the TOA accuracy, also when the total transmitted power is kept constant, so that the SNR is reduced. For a given bandwidth, the total energy of the signal used for one positioning estimate is obviously crucial for the coverage of the positioning signal and since the positioning signals must be heard far beyond the serving cell, this is clearly a critical factor for positioning. </w:t>
      </w:r>
    </w:p>
    <w:p w14:paraId="0B2A415D" w14:textId="77777777" w:rsidR="00342095" w:rsidRPr="00736498" w:rsidRDefault="00342095" w:rsidP="00342095">
      <w:r w:rsidRPr="00736498">
        <w:t>Assuming that the full output power is utilized for the positioning signal, the energy of the signal is proportional to the number of symbols utilized for the signal. However, if the full output power cannot be utilized, e.g. because the signal doesn’t utilize all subcarriers and power-boosting is limited, that will clearly reduce the energy of the signal.</w:t>
      </w:r>
    </w:p>
    <w:p w14:paraId="6F1A4F3E" w14:textId="77777777" w:rsidR="00342095" w:rsidRPr="00097874" w:rsidRDefault="00342095" w:rsidP="00342095">
      <w:r w:rsidRPr="00736498">
        <w:t xml:space="preserve">When the OFDM symbols are distributed in time more than the coherence time it becomes less efficient to combine such separated symbols, so the total energy cannot be as efficiently exploited in this case as when all symbols are within the coherence time. When all symbols are within the coherence time these may be coherently combined, with a corresponding SNR increase, whereas when symbols are more separated than the coherence time, like in different PRS occasions, a less </w:t>
      </w:r>
      <w:r w:rsidRPr="00736498">
        <w:lastRenderedPageBreak/>
        <w:t>efficient non-coherent combining will result in a lower SNR gain, or may require other types of combination, such as e.g. estimating the earliest peak within each occasion separately and then from these estimated TOA positions derive a global TOA estimate, e.g. by taking the minimum or average of these values. For the design of PRS signals it is therefore preferable to have relatively long occasions of consecutive symbols, but repeated less often, rather than having more frequent occasions with fewer consecutive (or closely spaced) symbols in each occasion, for the same overall resource utilization.</w:t>
      </w:r>
    </w:p>
    <w:p w14:paraId="5F5F0225" w14:textId="77777777" w:rsidR="00342095" w:rsidRPr="00097874" w:rsidRDefault="00342095" w:rsidP="00342095">
      <w:pPr>
        <w:rPr>
          <w:b/>
          <w:bCs/>
        </w:rPr>
      </w:pPr>
      <w:r w:rsidRPr="00097874">
        <w:rPr>
          <w:b/>
          <w:bCs/>
        </w:rPr>
        <w:t>Observation 3</w:t>
      </w:r>
      <w:r w:rsidRPr="00097874">
        <w:rPr>
          <w:b/>
        </w:rPr>
        <w:tab/>
      </w:r>
      <w:r w:rsidRPr="00097874">
        <w:rPr>
          <w:b/>
          <w:bCs/>
        </w:rPr>
        <w:t>It is preferable to have relatively long occasions of consecutive symbols, but repeated less often, rather than having more frequent occasions with fewer consecutive (or closely spaced) symbols in each occasion, for the same overall resource utilization.</w:t>
      </w:r>
    </w:p>
    <w:p w14:paraId="5AE232C3" w14:textId="211EED1F" w:rsidR="00342095" w:rsidRPr="007500AD" w:rsidRDefault="007500AD" w:rsidP="007500AD">
      <w:pPr>
        <w:pStyle w:val="Heading2"/>
      </w:pPr>
      <w:r>
        <w:t>2</w:t>
      </w:r>
      <w:r w:rsidR="00342095" w:rsidRPr="007500AD">
        <w:t>.4</w:t>
      </w:r>
      <w:r w:rsidR="00342095" w:rsidRPr="007500AD">
        <w:tab/>
        <w:t>Range</w:t>
      </w:r>
    </w:p>
    <w:p w14:paraId="32C23D34" w14:textId="77777777" w:rsidR="00342095" w:rsidRPr="00097874" w:rsidRDefault="00342095" w:rsidP="00342095">
      <w:r w:rsidRPr="00097874">
        <w:t xml:space="preserve">Signals that don’t utilize all subcarriers, when multiple OFDM </w:t>
      </w:r>
      <w:proofErr w:type="gramStart"/>
      <w:r w:rsidRPr="00097874">
        <w:t>symbols  are</w:t>
      </w:r>
      <w:proofErr w:type="gramEnd"/>
      <w:r w:rsidRPr="00097874">
        <w:t xml:space="preserve"> taken into account (staggering) or use different power for different subcarriers typically have side peaks in their auto-correlation function. These side peaks may be mis-detected as peaks corresponding to a channel </w:t>
      </w:r>
      <w:proofErr w:type="gramStart"/>
      <w:r w:rsidRPr="00097874">
        <w:t>tap, and</w:t>
      </w:r>
      <w:proofErr w:type="gramEnd"/>
      <w:r w:rsidRPr="00097874">
        <w:t xml:space="preserve"> may thus result in an erroneous TOA estimate. As an example the side peaks of a comb-N signal are located at intervals of </w:t>
      </w:r>
      <m:oMath>
        <m:sSub>
          <m:sSubPr>
            <m:ctrlPr>
              <w:rPr>
                <w:rFonts w:ascii="Cambria Math" w:hAnsi="Cambria Math"/>
                <w:i/>
              </w:rPr>
            </m:ctrlPr>
          </m:sSubPr>
          <m:e>
            <m:r>
              <w:rPr>
                <w:rFonts w:ascii="Cambria Math" w:hAnsi="Cambria Math"/>
              </w:rPr>
              <m:t>T</m:t>
            </m:r>
          </m:e>
          <m:sub>
            <m:r>
              <w:rPr>
                <w:rFonts w:ascii="Cambria Math" w:hAnsi="Cambria Math"/>
              </w:rPr>
              <m:t>range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OFDM</m:t>
                </m:r>
              </m:sub>
            </m:sSub>
          </m:num>
          <m:den>
            <m: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N∙subcarrierspacing</m:t>
            </m:r>
          </m:den>
        </m:f>
      </m:oMath>
      <w:r w:rsidRPr="00097874">
        <w:t xml:space="preserve"> on each side of the main peak with progressively smaller amplitudes </w:t>
      </w:r>
      <m:oMath>
        <m:f>
          <m:fPr>
            <m:ctrlPr>
              <w:rPr>
                <w:rFonts w:ascii="Cambria Math" w:hAnsi="Cambria Math"/>
                <w:i/>
              </w:rPr>
            </m:ctrlPr>
          </m:fPr>
          <m:num>
            <m:r>
              <w:rPr>
                <w:rFonts w:ascii="Cambria Math" w:hAnsi="Cambria Math"/>
              </w:rPr>
              <m:t>N-1</m:t>
            </m:r>
          </m:num>
          <m:den>
            <m:r>
              <w:rPr>
                <w:rFonts w:ascii="Cambria Math" w:hAnsi="Cambria Math"/>
              </w:rPr>
              <m:t>N</m:t>
            </m:r>
          </m:den>
        </m:f>
        <m:r>
          <w:rPr>
            <w:rFonts w:ascii="Cambria Math" w:hAnsi="Cambria Math"/>
          </w:rPr>
          <m:t xml:space="preserve">, </m:t>
        </m:r>
        <m:f>
          <m:fPr>
            <m:ctrlPr>
              <w:rPr>
                <w:rFonts w:ascii="Cambria Math" w:hAnsi="Cambria Math"/>
                <w:i/>
              </w:rPr>
            </m:ctrlPr>
          </m:fPr>
          <m:num>
            <m:r>
              <w:rPr>
                <w:rFonts w:ascii="Cambria Math" w:hAnsi="Cambria Math"/>
              </w:rPr>
              <m:t>N-2</m:t>
            </m:r>
          </m:num>
          <m:den>
            <m:r>
              <w:rPr>
                <w:rFonts w:ascii="Cambria Math" w:hAnsi="Cambria Math"/>
              </w:rPr>
              <m:t>N</m:t>
            </m:r>
          </m:den>
        </m:f>
        <m:r>
          <w:rPr>
            <w:rFonts w:ascii="Cambria Math" w:hAnsi="Cambria Math"/>
          </w:rPr>
          <m:t xml:space="preserve">, ⋯, </m:t>
        </m:r>
        <m:f>
          <m:fPr>
            <m:ctrlPr>
              <w:rPr>
                <w:rFonts w:ascii="Cambria Math" w:hAnsi="Cambria Math"/>
                <w:i/>
              </w:rPr>
            </m:ctrlPr>
          </m:fPr>
          <m:num>
            <m:r>
              <w:rPr>
                <w:rFonts w:ascii="Cambria Math" w:hAnsi="Cambria Math"/>
              </w:rPr>
              <m:t>1</m:t>
            </m:r>
          </m:num>
          <m:den>
            <m:r>
              <w:rPr>
                <w:rFonts w:ascii="Cambria Math" w:hAnsi="Cambria Math"/>
              </w:rPr>
              <m:t>N</m:t>
            </m:r>
          </m:den>
        </m:f>
      </m:oMath>
      <w:r w:rsidRPr="00097874">
        <w:t xml:space="preserve"> as compared to the main peak. This may create a problem if TOA estimates </w:t>
      </w:r>
      <w:proofErr w:type="gramStart"/>
      <w:r w:rsidRPr="00097874">
        <w:t>needs</w:t>
      </w:r>
      <w:proofErr w:type="gramEnd"/>
      <w:r w:rsidRPr="00097874">
        <w:t xml:space="preserve"> to be performed for transmission points that are further away than  </w:t>
      </w:r>
      <m:oMath>
        <m:sSub>
          <m:sSubPr>
            <m:ctrlPr>
              <w:rPr>
                <w:rFonts w:ascii="Cambria Math" w:hAnsi="Cambria Math"/>
                <w:i/>
              </w:rPr>
            </m:ctrlPr>
          </m:sSubPr>
          <m:e>
            <m:r>
              <w:rPr>
                <w:rFonts w:ascii="Cambria Math" w:hAnsi="Cambria Math"/>
              </w:rPr>
              <m:t>d</m:t>
            </m:r>
          </m:e>
          <m:sub>
            <m:r>
              <w:rPr>
                <w:rFonts w:ascii="Cambria Math" w:hAnsi="Cambria Math"/>
              </w:rPr>
              <m:t>range</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range</m:t>
            </m:r>
          </m:sub>
        </m:sSub>
        <m:r>
          <w:rPr>
            <w:rFonts w:ascii="Cambria Math" w:hAnsi="Cambria Math"/>
          </w:rPr>
          <m:t>∙c</m:t>
        </m:r>
      </m:oMath>
      <w:r w:rsidRPr="00097874">
        <w:t xml:space="preserve">, where </w:t>
      </w:r>
      <w:r w:rsidRPr="00097874">
        <w:rPr>
          <w:i/>
        </w:rPr>
        <w:t>c</w:t>
      </w:r>
      <w:r w:rsidRPr="00097874">
        <w:t xml:space="preserve"> is the speed of light. As an </w:t>
      </w:r>
      <w:proofErr w:type="gramStart"/>
      <w:r w:rsidRPr="00097874">
        <w:t>example</w:t>
      </w:r>
      <w:proofErr w:type="gramEnd"/>
      <w:r w:rsidRPr="00097874">
        <w:t xml:space="preserve"> the range distance is 5000m for a comb-4 signal with 15kHz subcarrier spacing. This clearly allows for large inter site distances. However, a non-staggered comb-4 signal with 120kHz subcarrier spacing has 625m range distance which clearly limits the inter site distance. On the other hand, 120kHz subcarrier spacing is used at high frequencies where inter site distances can be assumed to be smaller. Clearly the range of a signal needs to be considered depending on the scenario and in particular the inter site distance.</w:t>
      </w:r>
    </w:p>
    <w:p w14:paraId="60B2CFFA" w14:textId="77777777" w:rsidR="00342095" w:rsidRPr="00736498" w:rsidRDefault="00342095" w:rsidP="00342095">
      <w:pPr>
        <w:pStyle w:val="Caption"/>
        <w:jc w:val="center"/>
      </w:pPr>
      <w:r w:rsidRPr="00736498">
        <w:t xml:space="preserve">Table </w:t>
      </w:r>
      <w:r>
        <w:fldChar w:fldCharType="begin"/>
      </w:r>
      <w:r w:rsidRPr="00736498">
        <w:instrText xml:space="preserve"> SEQ Table \* ARABIC </w:instrText>
      </w:r>
      <w:r>
        <w:fldChar w:fldCharType="separate"/>
      </w:r>
      <w:r w:rsidRPr="00736498">
        <w:t>1</w:t>
      </w:r>
      <w:r>
        <w:fldChar w:fldCharType="end"/>
      </w:r>
      <w:r w:rsidRPr="00736498">
        <w:t xml:space="preserve"> The range distance for comb signals at different subcarrier spacing.</w:t>
      </w:r>
    </w:p>
    <w:tbl>
      <w:tblPr>
        <w:tblW w:w="6560" w:type="dxa"/>
        <w:tblInd w:w="1534" w:type="dxa"/>
        <w:tblLook w:val="04A0" w:firstRow="1" w:lastRow="0" w:firstColumn="1" w:lastColumn="0" w:noHBand="0" w:noVBand="1"/>
      </w:tblPr>
      <w:tblGrid>
        <w:gridCol w:w="960"/>
        <w:gridCol w:w="1120"/>
        <w:gridCol w:w="1120"/>
        <w:gridCol w:w="1120"/>
        <w:gridCol w:w="1120"/>
        <w:gridCol w:w="1120"/>
      </w:tblGrid>
      <w:tr w:rsidR="00342095" w14:paraId="126E0684" w14:textId="77777777" w:rsidTr="00CD3672">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6E18CBA" w14:textId="77777777" w:rsidR="00342095" w:rsidRDefault="00342095" w:rsidP="00CD3672">
            <w:pPr>
              <w:jc w:val="center"/>
            </w:pPr>
            <w:r>
              <w:t>Comb:</w:t>
            </w:r>
          </w:p>
        </w:tc>
        <w:tc>
          <w:tcPr>
            <w:tcW w:w="1120" w:type="dxa"/>
            <w:tcBorders>
              <w:top w:val="single" w:sz="4" w:space="0" w:color="auto"/>
              <w:left w:val="nil"/>
              <w:bottom w:val="single" w:sz="4" w:space="0" w:color="auto"/>
              <w:right w:val="single" w:sz="4" w:space="0" w:color="auto"/>
            </w:tcBorders>
            <w:noWrap/>
            <w:vAlign w:val="bottom"/>
            <w:hideMark/>
          </w:tcPr>
          <w:p w14:paraId="55E08C6B" w14:textId="77777777" w:rsidR="00342095" w:rsidRDefault="00342095" w:rsidP="00CD3672">
            <w:pPr>
              <w:jc w:val="center"/>
            </w:pPr>
            <w:r>
              <w:t>1</w:t>
            </w:r>
          </w:p>
        </w:tc>
        <w:tc>
          <w:tcPr>
            <w:tcW w:w="1120" w:type="dxa"/>
            <w:tcBorders>
              <w:top w:val="single" w:sz="4" w:space="0" w:color="auto"/>
              <w:left w:val="nil"/>
              <w:bottom w:val="single" w:sz="4" w:space="0" w:color="auto"/>
              <w:right w:val="single" w:sz="4" w:space="0" w:color="auto"/>
            </w:tcBorders>
            <w:noWrap/>
            <w:vAlign w:val="bottom"/>
            <w:hideMark/>
          </w:tcPr>
          <w:p w14:paraId="2277BE56" w14:textId="77777777" w:rsidR="00342095" w:rsidRDefault="00342095" w:rsidP="00CD3672">
            <w:pPr>
              <w:jc w:val="center"/>
            </w:pPr>
            <w:r>
              <w:t>2</w:t>
            </w:r>
          </w:p>
        </w:tc>
        <w:tc>
          <w:tcPr>
            <w:tcW w:w="1120" w:type="dxa"/>
            <w:tcBorders>
              <w:top w:val="single" w:sz="4" w:space="0" w:color="auto"/>
              <w:left w:val="nil"/>
              <w:bottom w:val="single" w:sz="4" w:space="0" w:color="auto"/>
              <w:right w:val="single" w:sz="4" w:space="0" w:color="auto"/>
            </w:tcBorders>
            <w:noWrap/>
            <w:vAlign w:val="bottom"/>
            <w:hideMark/>
          </w:tcPr>
          <w:p w14:paraId="66CDBE6F" w14:textId="77777777" w:rsidR="00342095" w:rsidRDefault="00342095" w:rsidP="00CD3672">
            <w:pPr>
              <w:jc w:val="center"/>
            </w:pPr>
            <w:r>
              <w:t>4</w:t>
            </w:r>
          </w:p>
        </w:tc>
        <w:tc>
          <w:tcPr>
            <w:tcW w:w="1120" w:type="dxa"/>
            <w:tcBorders>
              <w:top w:val="single" w:sz="4" w:space="0" w:color="auto"/>
              <w:left w:val="nil"/>
              <w:bottom w:val="single" w:sz="4" w:space="0" w:color="auto"/>
              <w:right w:val="single" w:sz="4" w:space="0" w:color="auto"/>
            </w:tcBorders>
            <w:noWrap/>
            <w:vAlign w:val="bottom"/>
            <w:hideMark/>
          </w:tcPr>
          <w:p w14:paraId="7E0F9651" w14:textId="77777777" w:rsidR="00342095" w:rsidRDefault="00342095" w:rsidP="00CD3672">
            <w:pPr>
              <w:jc w:val="center"/>
            </w:pPr>
            <w:r>
              <w:t>6</w:t>
            </w:r>
          </w:p>
        </w:tc>
        <w:tc>
          <w:tcPr>
            <w:tcW w:w="1120" w:type="dxa"/>
            <w:tcBorders>
              <w:top w:val="single" w:sz="4" w:space="0" w:color="auto"/>
              <w:left w:val="nil"/>
              <w:bottom w:val="single" w:sz="4" w:space="0" w:color="auto"/>
              <w:right w:val="single" w:sz="4" w:space="0" w:color="auto"/>
            </w:tcBorders>
            <w:noWrap/>
            <w:vAlign w:val="bottom"/>
            <w:hideMark/>
          </w:tcPr>
          <w:p w14:paraId="37069424" w14:textId="77777777" w:rsidR="00342095" w:rsidRDefault="00342095" w:rsidP="00CD3672">
            <w:pPr>
              <w:jc w:val="center"/>
            </w:pPr>
            <w:r>
              <w:t>12</w:t>
            </w:r>
          </w:p>
        </w:tc>
      </w:tr>
      <w:tr w:rsidR="00342095" w14:paraId="7B4D5C10"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21FCBCD6" w14:textId="77777777" w:rsidR="00342095" w:rsidRDefault="00342095" w:rsidP="00CD3672">
            <w:pPr>
              <w:jc w:val="center"/>
            </w:pPr>
            <w:proofErr w:type="gramStart"/>
            <w:r>
              <w:t>SCS  [</w:t>
            </w:r>
            <w:proofErr w:type="gramEnd"/>
            <w:r>
              <w:t>kHz]</w:t>
            </w:r>
          </w:p>
        </w:tc>
        <w:tc>
          <w:tcPr>
            <w:tcW w:w="1120" w:type="dxa"/>
            <w:tcBorders>
              <w:top w:val="nil"/>
              <w:left w:val="nil"/>
              <w:bottom w:val="single" w:sz="4" w:space="0" w:color="auto"/>
              <w:right w:val="single" w:sz="4" w:space="0" w:color="auto"/>
            </w:tcBorders>
            <w:noWrap/>
            <w:vAlign w:val="bottom"/>
            <w:hideMark/>
          </w:tcPr>
          <w:p w14:paraId="77E53122"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2E9AEBED"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08599F45"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713FC812"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36EB489C" w14:textId="77777777" w:rsidR="00342095" w:rsidRDefault="00342095" w:rsidP="00CD3672">
            <w:pPr>
              <w:jc w:val="center"/>
            </w:pPr>
            <w:r>
              <w:t>Range [m]</w:t>
            </w:r>
          </w:p>
        </w:tc>
      </w:tr>
      <w:tr w:rsidR="00342095" w14:paraId="4C3201A8"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61D1D862" w14:textId="77777777" w:rsidR="00342095" w:rsidRDefault="00342095" w:rsidP="00CD3672">
            <w:pPr>
              <w:jc w:val="center"/>
            </w:pPr>
            <w:r>
              <w:t>15</w:t>
            </w:r>
          </w:p>
        </w:tc>
        <w:tc>
          <w:tcPr>
            <w:tcW w:w="1120" w:type="dxa"/>
            <w:tcBorders>
              <w:top w:val="nil"/>
              <w:left w:val="nil"/>
              <w:bottom w:val="single" w:sz="4" w:space="0" w:color="auto"/>
              <w:right w:val="single" w:sz="4" w:space="0" w:color="auto"/>
            </w:tcBorders>
            <w:noWrap/>
            <w:vAlign w:val="bottom"/>
            <w:hideMark/>
          </w:tcPr>
          <w:p w14:paraId="4A670A22" w14:textId="77777777" w:rsidR="00342095" w:rsidRDefault="00342095" w:rsidP="00CD3672">
            <w:pPr>
              <w:jc w:val="center"/>
            </w:pPr>
            <w:r>
              <w:t>20000</w:t>
            </w:r>
          </w:p>
        </w:tc>
        <w:tc>
          <w:tcPr>
            <w:tcW w:w="1120" w:type="dxa"/>
            <w:tcBorders>
              <w:top w:val="nil"/>
              <w:left w:val="nil"/>
              <w:bottom w:val="single" w:sz="4" w:space="0" w:color="auto"/>
              <w:right w:val="single" w:sz="4" w:space="0" w:color="auto"/>
            </w:tcBorders>
            <w:noWrap/>
            <w:vAlign w:val="bottom"/>
            <w:hideMark/>
          </w:tcPr>
          <w:p w14:paraId="6DFC8EB8" w14:textId="77777777" w:rsidR="00342095" w:rsidRDefault="00342095" w:rsidP="00CD3672">
            <w:pPr>
              <w:jc w:val="center"/>
            </w:pPr>
            <w:r>
              <w:t>10000</w:t>
            </w:r>
          </w:p>
        </w:tc>
        <w:tc>
          <w:tcPr>
            <w:tcW w:w="1120" w:type="dxa"/>
            <w:tcBorders>
              <w:top w:val="nil"/>
              <w:left w:val="nil"/>
              <w:bottom w:val="single" w:sz="4" w:space="0" w:color="auto"/>
              <w:right w:val="single" w:sz="4" w:space="0" w:color="auto"/>
            </w:tcBorders>
            <w:noWrap/>
            <w:vAlign w:val="bottom"/>
            <w:hideMark/>
          </w:tcPr>
          <w:p w14:paraId="0CFC16EB"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E07E267" w14:textId="77777777" w:rsidR="00342095" w:rsidRDefault="00342095" w:rsidP="00CD3672">
            <w:pPr>
              <w:jc w:val="center"/>
            </w:pPr>
            <w:r>
              <w:t>3333</w:t>
            </w:r>
          </w:p>
        </w:tc>
        <w:tc>
          <w:tcPr>
            <w:tcW w:w="1120" w:type="dxa"/>
            <w:tcBorders>
              <w:top w:val="nil"/>
              <w:left w:val="nil"/>
              <w:bottom w:val="single" w:sz="4" w:space="0" w:color="auto"/>
              <w:right w:val="single" w:sz="4" w:space="0" w:color="auto"/>
            </w:tcBorders>
            <w:noWrap/>
            <w:vAlign w:val="bottom"/>
            <w:hideMark/>
          </w:tcPr>
          <w:p w14:paraId="4F8569A0" w14:textId="77777777" w:rsidR="00342095" w:rsidRDefault="00342095" w:rsidP="00CD3672">
            <w:pPr>
              <w:jc w:val="center"/>
            </w:pPr>
            <w:r>
              <w:t>1667</w:t>
            </w:r>
          </w:p>
        </w:tc>
      </w:tr>
      <w:tr w:rsidR="00342095" w14:paraId="13782DC0"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5765E67" w14:textId="77777777" w:rsidR="00342095" w:rsidRDefault="00342095" w:rsidP="00CD3672">
            <w:pPr>
              <w:jc w:val="center"/>
            </w:pPr>
            <w:r>
              <w:t>30</w:t>
            </w:r>
          </w:p>
        </w:tc>
        <w:tc>
          <w:tcPr>
            <w:tcW w:w="1120" w:type="dxa"/>
            <w:tcBorders>
              <w:top w:val="nil"/>
              <w:left w:val="nil"/>
              <w:bottom w:val="single" w:sz="4" w:space="0" w:color="auto"/>
              <w:right w:val="single" w:sz="4" w:space="0" w:color="auto"/>
            </w:tcBorders>
            <w:noWrap/>
            <w:vAlign w:val="bottom"/>
            <w:hideMark/>
          </w:tcPr>
          <w:p w14:paraId="19105D21" w14:textId="77777777" w:rsidR="00342095" w:rsidRDefault="00342095" w:rsidP="00CD3672">
            <w:pPr>
              <w:jc w:val="center"/>
            </w:pPr>
            <w:r>
              <w:t>10000</w:t>
            </w:r>
          </w:p>
        </w:tc>
        <w:tc>
          <w:tcPr>
            <w:tcW w:w="1120" w:type="dxa"/>
            <w:tcBorders>
              <w:top w:val="nil"/>
              <w:left w:val="nil"/>
              <w:bottom w:val="single" w:sz="4" w:space="0" w:color="auto"/>
              <w:right w:val="single" w:sz="4" w:space="0" w:color="auto"/>
            </w:tcBorders>
            <w:noWrap/>
            <w:vAlign w:val="bottom"/>
            <w:hideMark/>
          </w:tcPr>
          <w:p w14:paraId="23D167F3"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38D8828"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57AD26D2" w14:textId="77777777" w:rsidR="00342095" w:rsidRDefault="00342095" w:rsidP="00CD3672">
            <w:pPr>
              <w:jc w:val="center"/>
            </w:pPr>
            <w:r>
              <w:t>1667</w:t>
            </w:r>
          </w:p>
        </w:tc>
        <w:tc>
          <w:tcPr>
            <w:tcW w:w="1120" w:type="dxa"/>
            <w:tcBorders>
              <w:top w:val="nil"/>
              <w:left w:val="nil"/>
              <w:bottom w:val="single" w:sz="4" w:space="0" w:color="auto"/>
              <w:right w:val="single" w:sz="4" w:space="0" w:color="auto"/>
            </w:tcBorders>
            <w:noWrap/>
            <w:vAlign w:val="bottom"/>
            <w:hideMark/>
          </w:tcPr>
          <w:p w14:paraId="28B71A49" w14:textId="77777777" w:rsidR="00342095" w:rsidRDefault="00342095" w:rsidP="00CD3672">
            <w:pPr>
              <w:jc w:val="center"/>
            </w:pPr>
            <w:r>
              <w:t>833</w:t>
            </w:r>
          </w:p>
        </w:tc>
      </w:tr>
      <w:tr w:rsidR="00342095" w14:paraId="4A7CCD19"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047FE051" w14:textId="77777777" w:rsidR="00342095" w:rsidRDefault="00342095" w:rsidP="00CD3672">
            <w:pPr>
              <w:jc w:val="center"/>
            </w:pPr>
            <w:r>
              <w:t>60</w:t>
            </w:r>
          </w:p>
        </w:tc>
        <w:tc>
          <w:tcPr>
            <w:tcW w:w="1120" w:type="dxa"/>
            <w:tcBorders>
              <w:top w:val="nil"/>
              <w:left w:val="nil"/>
              <w:bottom w:val="single" w:sz="4" w:space="0" w:color="auto"/>
              <w:right w:val="single" w:sz="4" w:space="0" w:color="auto"/>
            </w:tcBorders>
            <w:noWrap/>
            <w:vAlign w:val="bottom"/>
            <w:hideMark/>
          </w:tcPr>
          <w:p w14:paraId="38CD346E"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36131DC"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32C28CDB"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6CA26F6B" w14:textId="77777777" w:rsidR="00342095" w:rsidRDefault="00342095" w:rsidP="00CD3672">
            <w:pPr>
              <w:jc w:val="center"/>
            </w:pPr>
            <w:r>
              <w:t>833</w:t>
            </w:r>
          </w:p>
        </w:tc>
        <w:tc>
          <w:tcPr>
            <w:tcW w:w="1120" w:type="dxa"/>
            <w:tcBorders>
              <w:top w:val="nil"/>
              <w:left w:val="nil"/>
              <w:bottom w:val="single" w:sz="4" w:space="0" w:color="auto"/>
              <w:right w:val="single" w:sz="4" w:space="0" w:color="auto"/>
            </w:tcBorders>
            <w:noWrap/>
            <w:vAlign w:val="bottom"/>
            <w:hideMark/>
          </w:tcPr>
          <w:p w14:paraId="2E994F1D" w14:textId="77777777" w:rsidR="00342095" w:rsidRDefault="00342095" w:rsidP="00CD3672">
            <w:pPr>
              <w:jc w:val="center"/>
            </w:pPr>
            <w:r>
              <w:t>417</w:t>
            </w:r>
          </w:p>
        </w:tc>
      </w:tr>
      <w:tr w:rsidR="00342095" w14:paraId="1120C333"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0D50F73" w14:textId="77777777" w:rsidR="00342095" w:rsidRDefault="00342095" w:rsidP="00CD3672">
            <w:pPr>
              <w:jc w:val="center"/>
            </w:pPr>
            <w:r>
              <w:t>120</w:t>
            </w:r>
          </w:p>
        </w:tc>
        <w:tc>
          <w:tcPr>
            <w:tcW w:w="1120" w:type="dxa"/>
            <w:tcBorders>
              <w:top w:val="nil"/>
              <w:left w:val="nil"/>
              <w:bottom w:val="single" w:sz="4" w:space="0" w:color="auto"/>
              <w:right w:val="single" w:sz="4" w:space="0" w:color="auto"/>
            </w:tcBorders>
            <w:noWrap/>
            <w:vAlign w:val="bottom"/>
            <w:hideMark/>
          </w:tcPr>
          <w:p w14:paraId="78BE80AC"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3F5B34C7"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29049E85" w14:textId="77777777" w:rsidR="00342095" w:rsidRDefault="00342095" w:rsidP="00CD3672">
            <w:pPr>
              <w:jc w:val="center"/>
            </w:pPr>
            <w:r>
              <w:t>625</w:t>
            </w:r>
          </w:p>
        </w:tc>
        <w:tc>
          <w:tcPr>
            <w:tcW w:w="1120" w:type="dxa"/>
            <w:tcBorders>
              <w:top w:val="nil"/>
              <w:left w:val="nil"/>
              <w:bottom w:val="single" w:sz="4" w:space="0" w:color="auto"/>
              <w:right w:val="single" w:sz="4" w:space="0" w:color="auto"/>
            </w:tcBorders>
            <w:noWrap/>
            <w:vAlign w:val="bottom"/>
            <w:hideMark/>
          </w:tcPr>
          <w:p w14:paraId="31422132" w14:textId="77777777" w:rsidR="00342095" w:rsidRDefault="00342095" w:rsidP="00CD3672">
            <w:pPr>
              <w:jc w:val="center"/>
            </w:pPr>
            <w:r>
              <w:t>417</w:t>
            </w:r>
          </w:p>
        </w:tc>
        <w:tc>
          <w:tcPr>
            <w:tcW w:w="1120" w:type="dxa"/>
            <w:tcBorders>
              <w:top w:val="nil"/>
              <w:left w:val="nil"/>
              <w:bottom w:val="single" w:sz="4" w:space="0" w:color="auto"/>
              <w:right w:val="single" w:sz="4" w:space="0" w:color="auto"/>
            </w:tcBorders>
            <w:noWrap/>
            <w:vAlign w:val="bottom"/>
            <w:hideMark/>
          </w:tcPr>
          <w:p w14:paraId="51003C93" w14:textId="77777777" w:rsidR="00342095" w:rsidRDefault="00342095" w:rsidP="00CD3672">
            <w:pPr>
              <w:jc w:val="center"/>
            </w:pPr>
            <w:r>
              <w:t>208</w:t>
            </w:r>
          </w:p>
        </w:tc>
      </w:tr>
      <w:tr w:rsidR="00342095" w14:paraId="4D084FD5"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0ED2F4E" w14:textId="77777777" w:rsidR="00342095" w:rsidRDefault="00342095" w:rsidP="00CD3672">
            <w:pPr>
              <w:jc w:val="center"/>
            </w:pPr>
            <w:r>
              <w:t>240</w:t>
            </w:r>
          </w:p>
        </w:tc>
        <w:tc>
          <w:tcPr>
            <w:tcW w:w="1120" w:type="dxa"/>
            <w:tcBorders>
              <w:top w:val="nil"/>
              <w:left w:val="nil"/>
              <w:bottom w:val="single" w:sz="4" w:space="0" w:color="auto"/>
              <w:right w:val="single" w:sz="4" w:space="0" w:color="auto"/>
            </w:tcBorders>
            <w:noWrap/>
            <w:vAlign w:val="bottom"/>
            <w:hideMark/>
          </w:tcPr>
          <w:p w14:paraId="163C8A85"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2B9AD939" w14:textId="77777777" w:rsidR="00342095" w:rsidRDefault="00342095" w:rsidP="00CD3672">
            <w:pPr>
              <w:jc w:val="center"/>
            </w:pPr>
            <w:r>
              <w:t>625</w:t>
            </w:r>
          </w:p>
        </w:tc>
        <w:tc>
          <w:tcPr>
            <w:tcW w:w="1120" w:type="dxa"/>
            <w:tcBorders>
              <w:top w:val="nil"/>
              <w:left w:val="nil"/>
              <w:bottom w:val="single" w:sz="4" w:space="0" w:color="auto"/>
              <w:right w:val="single" w:sz="4" w:space="0" w:color="auto"/>
            </w:tcBorders>
            <w:noWrap/>
            <w:vAlign w:val="bottom"/>
            <w:hideMark/>
          </w:tcPr>
          <w:p w14:paraId="6E8C2F6E" w14:textId="77777777" w:rsidR="00342095" w:rsidRDefault="00342095" w:rsidP="00CD3672">
            <w:pPr>
              <w:jc w:val="center"/>
            </w:pPr>
            <w:r>
              <w:t>313</w:t>
            </w:r>
          </w:p>
        </w:tc>
        <w:tc>
          <w:tcPr>
            <w:tcW w:w="1120" w:type="dxa"/>
            <w:tcBorders>
              <w:top w:val="nil"/>
              <w:left w:val="nil"/>
              <w:bottom w:val="single" w:sz="4" w:space="0" w:color="auto"/>
              <w:right w:val="single" w:sz="4" w:space="0" w:color="auto"/>
            </w:tcBorders>
            <w:noWrap/>
            <w:vAlign w:val="bottom"/>
            <w:hideMark/>
          </w:tcPr>
          <w:p w14:paraId="130472FE" w14:textId="77777777" w:rsidR="00342095" w:rsidRDefault="00342095" w:rsidP="00CD3672">
            <w:pPr>
              <w:jc w:val="center"/>
            </w:pPr>
            <w:r>
              <w:t>208</w:t>
            </w:r>
          </w:p>
        </w:tc>
        <w:tc>
          <w:tcPr>
            <w:tcW w:w="1120" w:type="dxa"/>
            <w:tcBorders>
              <w:top w:val="nil"/>
              <w:left w:val="nil"/>
              <w:bottom w:val="single" w:sz="4" w:space="0" w:color="auto"/>
              <w:right w:val="single" w:sz="4" w:space="0" w:color="auto"/>
            </w:tcBorders>
            <w:noWrap/>
            <w:vAlign w:val="bottom"/>
            <w:hideMark/>
          </w:tcPr>
          <w:p w14:paraId="2CBC40A2" w14:textId="77777777" w:rsidR="00342095" w:rsidRDefault="00342095" w:rsidP="00CD3672">
            <w:pPr>
              <w:jc w:val="center"/>
            </w:pPr>
            <w:r>
              <w:t>104</w:t>
            </w:r>
          </w:p>
        </w:tc>
      </w:tr>
    </w:tbl>
    <w:p w14:paraId="52EB7512" w14:textId="77777777" w:rsidR="00342095" w:rsidRDefault="00342095" w:rsidP="00342095"/>
    <w:p w14:paraId="2DF71373" w14:textId="348ADE02" w:rsidR="00342095" w:rsidRPr="007500AD" w:rsidRDefault="007500AD" w:rsidP="007500AD">
      <w:pPr>
        <w:pStyle w:val="Heading2"/>
      </w:pPr>
      <w:r>
        <w:t>2</w:t>
      </w:r>
      <w:r w:rsidR="00342095" w:rsidRPr="007500AD">
        <w:t>.5</w:t>
      </w:r>
      <w:r w:rsidR="00342095" w:rsidRPr="007500AD">
        <w:tab/>
        <w:t>Positioning overhead</w:t>
      </w:r>
    </w:p>
    <w:p w14:paraId="7AB1E96E" w14:textId="77777777" w:rsidR="00342095" w:rsidRPr="00097874" w:rsidRDefault="00342095" w:rsidP="00342095">
      <w:r w:rsidRPr="00097874">
        <w:t>The main cost for the positioning signal is the time that has to be utilized for positioning rather than for communication measured e.g. in number of symbols utilized per time unit. Clearly, in order to have a fair comparison between different positioning signals, it’s necessary that the comparison is made at the same cost in fraction of time utilized for positioning.</w:t>
      </w:r>
    </w:p>
    <w:p w14:paraId="16552C2E" w14:textId="77777777" w:rsidR="00342095" w:rsidRPr="008B2910" w:rsidRDefault="00342095" w:rsidP="00342095">
      <w:r w:rsidRPr="00736498">
        <w:t xml:space="preserve">It’s also natural to assume that the TOA estimates are made with the same periodicity for all signals so that the layer-1 latency is the same. </w:t>
      </w:r>
      <w:r w:rsidRPr="008B2910">
        <w:t xml:space="preserve">Combined with the assumption on equal overhead, </w:t>
      </w:r>
      <w:r w:rsidRPr="008B2910">
        <w:lastRenderedPageBreak/>
        <w:t>this means that for a fair comparison between different signals the number of symbols utilized for one positioning estimate should be the same, say N symbols, for all signals.</w:t>
      </w:r>
    </w:p>
    <w:p w14:paraId="5C8CA711" w14:textId="77777777" w:rsidR="00342095" w:rsidRPr="00097874" w:rsidRDefault="00342095" w:rsidP="00342095">
      <w:proofErr w:type="gramStart"/>
      <w:r w:rsidRPr="00097874">
        <w:t>Typically</w:t>
      </w:r>
      <w:proofErr w:type="gramEnd"/>
      <w:r w:rsidRPr="00097874">
        <w:t xml:space="preserve"> the positioning signals come in a number of periodic occasions, where each occasion is one or a few slots long and utilizes a fixed number of symbols M. Depending on the number of symbols M per occasion for a given signal, each positioning estimate should thus be based on N/M occasions.</w:t>
      </w:r>
    </w:p>
    <w:p w14:paraId="1AF22686" w14:textId="77777777" w:rsidR="00342095" w:rsidRPr="008B2910" w:rsidRDefault="00342095" w:rsidP="00342095">
      <w:r w:rsidRPr="008B2910">
        <w:t>One may note that the occasion periodicity for a signal will then be inversely proportional to the number M of symbols utilized in one occasion.</w:t>
      </w:r>
    </w:p>
    <w:p w14:paraId="56BC9302" w14:textId="77777777" w:rsidR="00342095" w:rsidRPr="008B2910" w:rsidRDefault="00342095" w:rsidP="00342095">
      <w:r w:rsidRPr="008B2910">
        <w:t xml:space="preserve">Considering the more efficient combination of OFDM symbols that can be made, when these appear within the coherence time, it is more efficient with less frequent but </w:t>
      </w:r>
      <w:proofErr w:type="spellStart"/>
      <w:r w:rsidRPr="008B2910">
        <w:t>bursty</w:t>
      </w:r>
      <w:proofErr w:type="spellEnd"/>
      <w:r w:rsidRPr="008B2910">
        <w:t xml:space="preserve"> transmission of PRS than with more frequent transmission of shorter bursts, which cannot be combined equally well.</w:t>
      </w:r>
    </w:p>
    <w:p w14:paraId="1B6093A3" w14:textId="77777777" w:rsidR="00342095" w:rsidRPr="008B2910" w:rsidRDefault="00342095" w:rsidP="00342095">
      <w:pPr>
        <w:pStyle w:val="Observation"/>
      </w:pPr>
      <w:bookmarkStart w:id="9" w:name="_Toc1164782"/>
      <w:bookmarkStart w:id="10" w:name="_Toc5019277"/>
      <w:r w:rsidRPr="008B2910">
        <w:t>For comparison purpose, PRS candidates should have the same overhead and layer-1 latency</w:t>
      </w:r>
      <w:bookmarkEnd w:id="9"/>
      <w:bookmarkEnd w:id="10"/>
    </w:p>
    <w:p w14:paraId="630C9ADF" w14:textId="77777777" w:rsidR="00342095" w:rsidRPr="00097874" w:rsidRDefault="00342095" w:rsidP="00342095">
      <w:r w:rsidRPr="00097874">
        <w:t>The re-use of signals that are anyway transmitted for communication purposes also for positioning (e.g. the TRS), clearly have no positioning overhead at all. Such candidate signals are clearly superior to all other signals as long as they fulfill positioning requirements in a given scenario.</w:t>
      </w:r>
    </w:p>
    <w:p w14:paraId="759E41DD" w14:textId="77777777" w:rsidR="00342095" w:rsidRPr="00097874" w:rsidRDefault="00342095" w:rsidP="00342095">
      <w:pPr>
        <w:pStyle w:val="Observation"/>
        <w:rPr>
          <w:b w:val="0"/>
          <w:bCs w:val="0"/>
          <w:lang w:eastAsia="en-US"/>
        </w:rPr>
      </w:pPr>
      <w:bookmarkStart w:id="11" w:name="_Toc1164783"/>
      <w:bookmarkStart w:id="12" w:name="_Toc5019278"/>
      <w:r w:rsidRPr="00097874">
        <w:t>The re-use of signals that are anyway transmitted for communication purposes also for positioning (e.g. the TRS</w:t>
      </w:r>
      <w:proofErr w:type="gramStart"/>
      <w:r w:rsidRPr="00097874">
        <w:t>),  have</w:t>
      </w:r>
      <w:proofErr w:type="gramEnd"/>
      <w:r w:rsidRPr="00097874">
        <w:t xml:space="preserve"> no positioning overhead at all. Such candidate signals are superior to all other signals as long as they fulfill positioning requirements in a given scenario.</w:t>
      </w:r>
      <w:bookmarkEnd w:id="11"/>
      <w:bookmarkEnd w:id="12"/>
    </w:p>
    <w:p w14:paraId="7E034EBB" w14:textId="77777777" w:rsidR="00342095" w:rsidRPr="00342095" w:rsidRDefault="00342095" w:rsidP="00342095">
      <w:pPr>
        <w:rPr>
          <w:lang w:eastAsia="ja-JP"/>
        </w:rPr>
      </w:pPr>
    </w:p>
    <w:p w14:paraId="375D782F" w14:textId="77777777" w:rsidR="00C01F33" w:rsidRPr="00CE0424" w:rsidRDefault="00C01F33" w:rsidP="00CE0424">
      <w:pPr>
        <w:pStyle w:val="Heading1"/>
      </w:pPr>
      <w:r w:rsidRPr="00CE0424">
        <w:t>Conclusion</w:t>
      </w:r>
    </w:p>
    <w:p w14:paraId="17D87799" w14:textId="77777777" w:rsidR="008E065E" w:rsidRPr="008B2910" w:rsidRDefault="008E065E" w:rsidP="008E065E">
      <w:pPr>
        <w:pStyle w:val="BodyText"/>
        <w:rPr>
          <w:b/>
        </w:rPr>
      </w:pPr>
      <w:r w:rsidRPr="008B2910">
        <w:t xml:space="preserve">In </w:t>
      </w:r>
      <w:r w:rsidR="007729A2" w:rsidRPr="008B2910">
        <w:t xml:space="preserve">the previous </w:t>
      </w:r>
      <w:r w:rsidRPr="008B2910">
        <w:t>section</w:t>
      </w:r>
      <w:r w:rsidR="007729A2" w:rsidRPr="008B2910">
        <w:t>s</w:t>
      </w:r>
      <w:r w:rsidRPr="008B2910">
        <w:t xml:space="preserve"> we made the following observations:</w:t>
      </w:r>
      <w:r w:rsidR="00C93814" w:rsidRPr="008B2910">
        <w:rPr>
          <w:b/>
        </w:rPr>
        <w:t xml:space="preserve"> </w:t>
      </w:r>
    </w:p>
    <w:p w14:paraId="082EF1FC" w14:textId="267BE4EF" w:rsidR="005D4822" w:rsidRDefault="006F6582">
      <w:pPr>
        <w:pStyle w:val="TableofFigures"/>
        <w:tabs>
          <w:tab w:val="right" w:leader="dot" w:pos="9629"/>
        </w:tabs>
        <w:rPr>
          <w:rFonts w:eastAsiaTheme="minorEastAsia"/>
          <w:b w:val="0"/>
          <w:noProof/>
          <w:lang w:eastAsia="en-US"/>
        </w:rPr>
      </w:pPr>
      <w:r w:rsidRPr="00CA5762">
        <w:rPr>
          <w:bCs/>
        </w:rPr>
        <w:fldChar w:fldCharType="begin"/>
      </w:r>
      <w:r w:rsidRPr="00CA5762">
        <w:rPr>
          <w:bCs/>
        </w:rPr>
        <w:instrText xml:space="preserve"> TOC \f O \n \h \z \t "Observation" \c </w:instrText>
      </w:r>
      <w:r w:rsidRPr="00CA5762">
        <w:rPr>
          <w:bCs/>
        </w:rPr>
        <w:fldChar w:fldCharType="separate"/>
      </w:r>
      <w:hyperlink w:anchor="_Toc5019276" w:history="1">
        <w:r w:rsidR="005D4822" w:rsidRPr="00A529A9">
          <w:rPr>
            <w:rStyle w:val="Hyperlink"/>
            <w:noProof/>
          </w:rPr>
          <w:t>Observation 1</w:t>
        </w:r>
        <w:r w:rsidR="005D4822">
          <w:rPr>
            <w:rFonts w:eastAsiaTheme="minorEastAsia"/>
            <w:b w:val="0"/>
            <w:noProof/>
            <w:lang w:eastAsia="en-US"/>
          </w:rPr>
          <w:tab/>
        </w:r>
        <w:r w:rsidR="005D4822" w:rsidRPr="00A529A9">
          <w:rPr>
            <w:rStyle w:val="Hyperlink"/>
            <w:noProof/>
          </w:rPr>
          <w:t>When dealing with interfering signal of the same order of magnitude as the measured TOA signal, a careful choice of sequences to be used within a position computation operation should minimize the interference between these sequences.</w:t>
        </w:r>
      </w:hyperlink>
    </w:p>
    <w:p w14:paraId="0C05F437" w14:textId="7FAFD12B" w:rsidR="005D4822" w:rsidRDefault="00CB282C">
      <w:pPr>
        <w:pStyle w:val="TableofFigures"/>
        <w:tabs>
          <w:tab w:val="right" w:leader="dot" w:pos="9629"/>
        </w:tabs>
        <w:rPr>
          <w:rFonts w:eastAsiaTheme="minorEastAsia"/>
          <w:b w:val="0"/>
          <w:noProof/>
          <w:lang w:eastAsia="en-US"/>
        </w:rPr>
      </w:pPr>
      <w:hyperlink w:anchor="_Toc5019277" w:history="1">
        <w:r w:rsidR="005D4822" w:rsidRPr="00A529A9">
          <w:rPr>
            <w:rStyle w:val="Hyperlink"/>
            <w:noProof/>
          </w:rPr>
          <w:t>Observation 2</w:t>
        </w:r>
        <w:r w:rsidR="005D4822">
          <w:rPr>
            <w:rFonts w:eastAsiaTheme="minorEastAsia"/>
            <w:b w:val="0"/>
            <w:noProof/>
            <w:lang w:eastAsia="en-US"/>
          </w:rPr>
          <w:tab/>
        </w:r>
        <w:r w:rsidR="005D4822" w:rsidRPr="00A529A9">
          <w:rPr>
            <w:rStyle w:val="Hyperlink"/>
            <w:noProof/>
          </w:rPr>
          <w:t>For comparison purpose, PRS candidates should have the same overhead and layer-1 latency</w:t>
        </w:r>
      </w:hyperlink>
    </w:p>
    <w:p w14:paraId="5B76A723" w14:textId="500D2566" w:rsidR="005D4822" w:rsidRDefault="00CB282C">
      <w:pPr>
        <w:pStyle w:val="TableofFigures"/>
        <w:tabs>
          <w:tab w:val="right" w:leader="dot" w:pos="9629"/>
        </w:tabs>
        <w:rPr>
          <w:rFonts w:eastAsiaTheme="minorEastAsia"/>
          <w:b w:val="0"/>
          <w:noProof/>
          <w:lang w:eastAsia="en-US"/>
        </w:rPr>
      </w:pPr>
      <w:hyperlink w:anchor="_Toc5019278" w:history="1">
        <w:r w:rsidR="005D4822" w:rsidRPr="00A529A9">
          <w:rPr>
            <w:rStyle w:val="Hyperlink"/>
            <w:noProof/>
            <w:lang w:eastAsia="en-US"/>
          </w:rPr>
          <w:t>Observation 3</w:t>
        </w:r>
        <w:r w:rsidR="005D4822">
          <w:rPr>
            <w:rFonts w:eastAsiaTheme="minorEastAsia"/>
            <w:b w:val="0"/>
            <w:noProof/>
            <w:lang w:eastAsia="en-US"/>
          </w:rPr>
          <w:tab/>
        </w:r>
        <w:r w:rsidR="005D4822" w:rsidRPr="00A529A9">
          <w:rPr>
            <w:rStyle w:val="Hyperlink"/>
            <w:noProof/>
          </w:rPr>
          <w:t>The re-use of signals that are anyway transmitted for communication purposes also for positioning (e.g. the TRS),  have no positioning overhead at all. Such candidate signals are superior to all other signals as long as they fulfill positioning requirements in a given scenario.</w:t>
        </w:r>
      </w:hyperlink>
    </w:p>
    <w:p w14:paraId="507C51A5" w14:textId="0D63F025" w:rsidR="00C01F33" w:rsidRPr="005D4822" w:rsidRDefault="006F6582" w:rsidP="00CA5762">
      <w:pPr>
        <w:rPr>
          <w:lang w:val="en-GB"/>
        </w:rPr>
      </w:pPr>
      <w:r w:rsidRPr="00CA5762">
        <w:fldChar w:fldCharType="end"/>
      </w:r>
    </w:p>
    <w:p w14:paraId="4C5504C0" w14:textId="77777777" w:rsidR="00F507D1" w:rsidRPr="00CE0424" w:rsidRDefault="00F507D1" w:rsidP="00CE0424">
      <w:pPr>
        <w:pStyle w:val="Heading1"/>
      </w:pPr>
      <w:bookmarkStart w:id="13" w:name="_In-sequence_SDU_delivery"/>
      <w:bookmarkEnd w:id="13"/>
      <w:r w:rsidRPr="00CE0424">
        <w:t>References</w:t>
      </w:r>
    </w:p>
    <w:p w14:paraId="70171A66" w14:textId="514975DA" w:rsidR="003A7EF3" w:rsidRPr="00097874" w:rsidRDefault="00CC3105" w:rsidP="00CE0424">
      <w:pPr>
        <w:pStyle w:val="Reference"/>
        <w:numPr>
          <w:ilvl w:val="0"/>
          <w:numId w:val="29"/>
        </w:numPr>
      </w:pPr>
      <w:bookmarkStart w:id="14" w:name="_Ref534987709"/>
      <w:bookmarkStart w:id="15" w:name="_Ref189809556"/>
      <w:bookmarkStart w:id="16" w:name="_Ref174151459"/>
      <w:r w:rsidRPr="008B2910">
        <w:rPr>
          <w:rStyle w:val="normaltextrun"/>
          <w:spacing w:val="-4"/>
          <w:shd w:val="clear" w:color="auto" w:fill="FFFFFF"/>
        </w:rPr>
        <w:t xml:space="preserve">RP-182155, </w:t>
      </w:r>
      <w:r w:rsidRPr="008B2910">
        <w:t>Study on NR positioning support, RAN1, Intel Corporation, Ericsson, June 2019.</w:t>
      </w:r>
      <w:bookmarkEnd w:id="14"/>
      <w:bookmarkEnd w:id="15"/>
      <w:bookmarkEnd w:id="16"/>
      <w:r w:rsidR="00200C46">
        <w:t xml:space="preserve"> </w:t>
      </w:r>
    </w:p>
    <w:sectPr w:rsidR="003A7EF3" w:rsidRPr="00097874" w:rsidSect="004D7CD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877A7" w14:textId="77777777" w:rsidR="00811000" w:rsidRDefault="00811000">
      <w:r>
        <w:separator/>
      </w:r>
    </w:p>
  </w:endnote>
  <w:endnote w:type="continuationSeparator" w:id="0">
    <w:p w14:paraId="485637D5" w14:textId="77777777" w:rsidR="00811000" w:rsidRDefault="00811000">
      <w:r>
        <w:continuationSeparator/>
      </w:r>
    </w:p>
  </w:endnote>
  <w:endnote w:type="continuationNotice" w:id="1">
    <w:p w14:paraId="1BFCA958" w14:textId="77777777" w:rsidR="00811000" w:rsidRDefault="00811000"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596B" w14:textId="77777777" w:rsidR="00811000" w:rsidRDefault="00811000">
      <w:r>
        <w:separator/>
      </w:r>
    </w:p>
  </w:footnote>
  <w:footnote w:type="continuationSeparator" w:id="0">
    <w:p w14:paraId="0DDC53F9" w14:textId="77777777" w:rsidR="00811000" w:rsidRDefault="00811000">
      <w:r>
        <w:continuationSeparator/>
      </w:r>
    </w:p>
  </w:footnote>
  <w:footnote w:type="continuationNotice" w:id="1">
    <w:p w14:paraId="61CF9BF5" w14:textId="77777777" w:rsidR="00811000" w:rsidRDefault="00811000"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0EC0"/>
    <w:rsid w:val="001B4C7A"/>
    <w:rsid w:val="001B5A5D"/>
    <w:rsid w:val="001B5DB2"/>
    <w:rsid w:val="001B6D5C"/>
    <w:rsid w:val="001C1AF6"/>
    <w:rsid w:val="001C1CE5"/>
    <w:rsid w:val="001C2DCB"/>
    <w:rsid w:val="001C3D2A"/>
    <w:rsid w:val="001C5387"/>
    <w:rsid w:val="001D15DC"/>
    <w:rsid w:val="001D2C8B"/>
    <w:rsid w:val="001D44B0"/>
    <w:rsid w:val="001D4E47"/>
    <w:rsid w:val="001D51BA"/>
    <w:rsid w:val="001D53E7"/>
    <w:rsid w:val="001D56D8"/>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40378"/>
    <w:rsid w:val="00241559"/>
    <w:rsid w:val="0024163B"/>
    <w:rsid w:val="0024282E"/>
    <w:rsid w:val="002435B3"/>
    <w:rsid w:val="002458CD"/>
    <w:rsid w:val="002458EB"/>
    <w:rsid w:val="002470AE"/>
    <w:rsid w:val="002500C8"/>
    <w:rsid w:val="00250D36"/>
    <w:rsid w:val="00252432"/>
    <w:rsid w:val="00255E25"/>
    <w:rsid w:val="00257543"/>
    <w:rsid w:val="002617E7"/>
    <w:rsid w:val="00264228"/>
    <w:rsid w:val="00264334"/>
    <w:rsid w:val="0026450E"/>
    <w:rsid w:val="0026473E"/>
    <w:rsid w:val="0026601F"/>
    <w:rsid w:val="0026621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2CB"/>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095"/>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5C7"/>
    <w:rsid w:val="003F1074"/>
    <w:rsid w:val="003F11C2"/>
    <w:rsid w:val="003F11D9"/>
    <w:rsid w:val="003F12EF"/>
    <w:rsid w:val="003F2CD4"/>
    <w:rsid w:val="003F2D7C"/>
    <w:rsid w:val="003F4395"/>
    <w:rsid w:val="003F6B85"/>
    <w:rsid w:val="003F6BBE"/>
    <w:rsid w:val="003F7428"/>
    <w:rsid w:val="004000E8"/>
    <w:rsid w:val="00402066"/>
    <w:rsid w:val="0040241E"/>
    <w:rsid w:val="00402E2B"/>
    <w:rsid w:val="00403AF4"/>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1141"/>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DA0"/>
    <w:rsid w:val="0052505F"/>
    <w:rsid w:val="00525865"/>
    <w:rsid w:val="0053001E"/>
    <w:rsid w:val="00530107"/>
    <w:rsid w:val="0053128C"/>
    <w:rsid w:val="00531B02"/>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7250"/>
    <w:rsid w:val="00572505"/>
    <w:rsid w:val="00572D16"/>
    <w:rsid w:val="00575644"/>
    <w:rsid w:val="00576206"/>
    <w:rsid w:val="00580AEB"/>
    <w:rsid w:val="00582809"/>
    <w:rsid w:val="00583ABE"/>
    <w:rsid w:val="0058518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7049"/>
    <w:rsid w:val="005C74FB"/>
    <w:rsid w:val="005D1602"/>
    <w:rsid w:val="005D4822"/>
    <w:rsid w:val="005E1183"/>
    <w:rsid w:val="005E1322"/>
    <w:rsid w:val="005E1E47"/>
    <w:rsid w:val="005E1E60"/>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050"/>
    <w:rsid w:val="0064151F"/>
    <w:rsid w:val="00641533"/>
    <w:rsid w:val="0064208D"/>
    <w:rsid w:val="006428C0"/>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673C"/>
    <w:rsid w:val="006D6994"/>
    <w:rsid w:val="006D6F08"/>
    <w:rsid w:val="006D7E82"/>
    <w:rsid w:val="006E062C"/>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E58"/>
    <w:rsid w:val="00741FAC"/>
    <w:rsid w:val="00742D1B"/>
    <w:rsid w:val="00743DB5"/>
    <w:rsid w:val="00744497"/>
    <w:rsid w:val="007445A0"/>
    <w:rsid w:val="007449DE"/>
    <w:rsid w:val="0074524B"/>
    <w:rsid w:val="007458D8"/>
    <w:rsid w:val="00747D8B"/>
    <w:rsid w:val="007500AD"/>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2B0"/>
    <w:rsid w:val="007E7091"/>
    <w:rsid w:val="007E71C8"/>
    <w:rsid w:val="007E75E5"/>
    <w:rsid w:val="007F23A2"/>
    <w:rsid w:val="007F2BC2"/>
    <w:rsid w:val="007F445E"/>
    <w:rsid w:val="007F4537"/>
    <w:rsid w:val="00803269"/>
    <w:rsid w:val="00803E46"/>
    <w:rsid w:val="00803F79"/>
    <w:rsid w:val="00803FAE"/>
    <w:rsid w:val="0080605F"/>
    <w:rsid w:val="008071D4"/>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3EC5"/>
    <w:rsid w:val="008640B5"/>
    <w:rsid w:val="008677FD"/>
    <w:rsid w:val="00867E54"/>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F0387"/>
    <w:rsid w:val="008F15AF"/>
    <w:rsid w:val="008F1C4E"/>
    <w:rsid w:val="008F1EAB"/>
    <w:rsid w:val="008F33DC"/>
    <w:rsid w:val="008F3A19"/>
    <w:rsid w:val="008F477F"/>
    <w:rsid w:val="008F4A4B"/>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C21"/>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CB2"/>
    <w:rsid w:val="009C403E"/>
    <w:rsid w:val="009C42D0"/>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54BA"/>
    <w:rsid w:val="00BA56D2"/>
    <w:rsid w:val="00BA76E0"/>
    <w:rsid w:val="00BB1F5C"/>
    <w:rsid w:val="00BB2A25"/>
    <w:rsid w:val="00BB51E9"/>
    <w:rsid w:val="00BB5C0E"/>
    <w:rsid w:val="00BB5CB6"/>
    <w:rsid w:val="00BB6C62"/>
    <w:rsid w:val="00BC0FDC"/>
    <w:rsid w:val="00BC11C8"/>
    <w:rsid w:val="00BC1536"/>
    <w:rsid w:val="00BC158D"/>
    <w:rsid w:val="00BC2482"/>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1785"/>
    <w:rsid w:val="00C54995"/>
    <w:rsid w:val="00C54D41"/>
    <w:rsid w:val="00C57826"/>
    <w:rsid w:val="00C57906"/>
    <w:rsid w:val="00C605C5"/>
    <w:rsid w:val="00C60783"/>
    <w:rsid w:val="00C607B9"/>
    <w:rsid w:val="00C60992"/>
    <w:rsid w:val="00C638F9"/>
    <w:rsid w:val="00C64672"/>
    <w:rsid w:val="00C6744B"/>
    <w:rsid w:val="00C70697"/>
    <w:rsid w:val="00C72093"/>
    <w:rsid w:val="00C72EF4"/>
    <w:rsid w:val="00C7333E"/>
    <w:rsid w:val="00C744FE"/>
    <w:rsid w:val="00C74A8B"/>
    <w:rsid w:val="00C7513B"/>
    <w:rsid w:val="00C75D2F"/>
    <w:rsid w:val="00C767BE"/>
    <w:rsid w:val="00C76E3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A031E"/>
    <w:rsid w:val="00CA17B2"/>
    <w:rsid w:val="00CA1ED8"/>
    <w:rsid w:val="00CA2CAF"/>
    <w:rsid w:val="00CA2FE5"/>
    <w:rsid w:val="00CA5762"/>
    <w:rsid w:val="00CA7BA9"/>
    <w:rsid w:val="00CA7F10"/>
    <w:rsid w:val="00CB0DD7"/>
    <w:rsid w:val="00CB1412"/>
    <w:rsid w:val="00CB1F63"/>
    <w:rsid w:val="00CB282C"/>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27A"/>
    <w:rsid w:val="00CC7805"/>
    <w:rsid w:val="00CC7B45"/>
    <w:rsid w:val="00CD0503"/>
    <w:rsid w:val="00CD1188"/>
    <w:rsid w:val="00CD13AF"/>
    <w:rsid w:val="00CD16CE"/>
    <w:rsid w:val="00CD2ED1"/>
    <w:rsid w:val="00CD312D"/>
    <w:rsid w:val="00CD337B"/>
    <w:rsid w:val="00CE0424"/>
    <w:rsid w:val="00CE0913"/>
    <w:rsid w:val="00CE3A84"/>
    <w:rsid w:val="00CE4BFB"/>
    <w:rsid w:val="00CE59DC"/>
    <w:rsid w:val="00CE5F56"/>
    <w:rsid w:val="00CE6076"/>
    <w:rsid w:val="00CE7561"/>
    <w:rsid w:val="00CF048A"/>
    <w:rsid w:val="00CF1354"/>
    <w:rsid w:val="00CF1999"/>
    <w:rsid w:val="00CF2529"/>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7248"/>
    <w:rsid w:val="00D576CA"/>
    <w:rsid w:val="00D578F0"/>
    <w:rsid w:val="00D6003F"/>
    <w:rsid w:val="00D61AF5"/>
    <w:rsid w:val="00D61E26"/>
    <w:rsid w:val="00D634AB"/>
    <w:rsid w:val="00D63BC8"/>
    <w:rsid w:val="00D63D89"/>
    <w:rsid w:val="00D64C7C"/>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2D11"/>
    <w:rsid w:val="00DC2D36"/>
    <w:rsid w:val="00DC53EF"/>
    <w:rsid w:val="00DC68B6"/>
    <w:rsid w:val="00DD2FD3"/>
    <w:rsid w:val="00DD5A49"/>
    <w:rsid w:val="00DD5AE5"/>
    <w:rsid w:val="00DD7465"/>
    <w:rsid w:val="00DD7EB7"/>
    <w:rsid w:val="00DE0DDC"/>
    <w:rsid w:val="00DE2CCE"/>
    <w:rsid w:val="00DE404E"/>
    <w:rsid w:val="00DE4630"/>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10E7"/>
    <w:rsid w:val="00E1124E"/>
    <w:rsid w:val="00E11B2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77A"/>
    <w:rsid w:val="00EA06D5"/>
    <w:rsid w:val="00EA09FA"/>
    <w:rsid w:val="00EA1218"/>
    <w:rsid w:val="00EA1CE1"/>
    <w:rsid w:val="00EA20B1"/>
    <w:rsid w:val="00EA4892"/>
    <w:rsid w:val="00EA6B42"/>
    <w:rsid w:val="00EA7A41"/>
    <w:rsid w:val="00EB077B"/>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B1727"/>
    <w:rsid w:val="00FB1CC3"/>
    <w:rsid w:val="00FB4B8E"/>
    <w:rsid w:val="00FB4C80"/>
    <w:rsid w:val="00FB5A97"/>
    <w:rsid w:val="00FB6459"/>
    <w:rsid w:val="00FB6A6A"/>
    <w:rsid w:val="00FC1A30"/>
    <w:rsid w:val="00FC1E75"/>
    <w:rsid w:val="00FC2B86"/>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44B"/>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67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44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5NUHHDQN7SK2-1476151046-45216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https://ericsson.sharepoint.com/sites/star/_layouts/15/DocIdRedir.aspx?ID=5NUHHDQN7SK2-1476151046-45216</Url>
      <Description>5NUHHDQN7SK2-1476151046-45216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E3432-1CDA-40ED-A483-24A405D2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3.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A53D8F44-AA4C-48F3-8A55-9406C9A909B2}">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0CCC4677-21A3-6A44-B189-1F71880C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9525</Characters>
  <Application>Microsoft Office Word</Application>
  <DocSecurity>0</DocSecurity>
  <Lines>183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2019-04-02T20:02:00Z</dcterms:created>
  <dcterms:modified xsi:type="dcterms:W3CDTF">2019-04-02T20:02:00Z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7dd1141a-f3d3-4602-9ad8-52ca730fb32f</vt:lpwstr>
  </property>
  <property fmtid="{D5CDD505-2E9C-101B-9397-08002B2CF9AE}" pid="14" name="EriCOLLProjects">
    <vt:lpwstr/>
  </property>
  <property fmtid="{D5CDD505-2E9C-101B-9397-08002B2CF9AE}" pid="15" name="AuthorIds_UIVersion_1024">
    <vt:lpwstr>329</vt:lpwstr>
  </property>
  <property fmtid="{D5CDD505-2E9C-101B-9397-08002B2CF9AE}" pid="16" name="AuthorIds_UIVersion_512">
    <vt:lpwstr>329</vt:lpwstr>
  </property>
</Properties>
</file>